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70" w:lineRule="exact"/>
        <w:rPr>
          <w:rFonts w:hint="eastAsia" w:ascii="黑体" w:hAnsi="黑体" w:eastAsia="黑体" w:cs="微软雅黑"/>
          <w:color w:val="000000"/>
          <w:sz w:val="32"/>
          <w:szCs w:val="32"/>
        </w:rPr>
      </w:pPr>
      <w:r>
        <w:rPr>
          <w:rFonts w:hint="eastAsia" w:ascii="黑体" w:hAnsi="黑体" w:eastAsia="黑体" w:cs="微软雅黑"/>
          <w:color w:val="000000"/>
          <w:sz w:val="32"/>
          <w:szCs w:val="32"/>
        </w:rPr>
        <w:t>附件</w:t>
      </w:r>
      <w:r>
        <w:rPr>
          <w:rFonts w:ascii="黑体" w:hAnsi="黑体" w:eastAsia="黑体" w:cs="微软雅黑"/>
          <w:color w:val="000000"/>
          <w:sz w:val="32"/>
          <w:szCs w:val="32"/>
        </w:rPr>
        <w:t>1</w:t>
      </w:r>
    </w:p>
    <w:p>
      <w:pPr>
        <w:pStyle w:val="2"/>
        <w:spacing w:before="0" w:beforeAutospacing="0" w:after="0" w:afterAutospacing="0" w:line="570" w:lineRule="exact"/>
        <w:rPr>
          <w:rFonts w:hint="eastAsia" w:ascii="方正小标宋简体" w:hAnsi="Times New Roman" w:eastAsia="方正小标宋简体" w:cs="Times New Roman"/>
          <w:bCs/>
          <w:color w:val="000000"/>
          <w:kern w:val="2"/>
          <w:sz w:val="32"/>
          <w:szCs w:val="32"/>
          <w:shd w:val="clear" w:color="auto" w:fill="FFFFFF"/>
        </w:rPr>
      </w:pPr>
    </w:p>
    <w:p>
      <w:pPr>
        <w:pStyle w:val="2"/>
        <w:spacing w:before="0" w:beforeAutospacing="0" w:after="0" w:afterAutospacing="0" w:line="570" w:lineRule="exact"/>
        <w:jc w:val="center"/>
        <w:rPr>
          <w:rFonts w:ascii="方正小标宋简体" w:hAnsi="Times New Roman" w:eastAsia="方正小标宋简体" w:cs="Times New Roman"/>
          <w:bCs/>
          <w:color w:val="000000"/>
          <w:spacing w:val="-11"/>
          <w:kern w:val="2"/>
          <w:sz w:val="44"/>
          <w:szCs w:val="44"/>
          <w:shd w:val="clear" w:color="auto" w:fill="FFFFFF"/>
        </w:rPr>
      </w:pPr>
      <w:r>
        <w:rPr>
          <w:rFonts w:hint="eastAsia" w:ascii="方正小标宋简体" w:hAnsi="Times New Roman" w:eastAsia="方正小标宋简体" w:cs="Times New Roman"/>
          <w:bCs/>
          <w:color w:val="000000"/>
          <w:spacing w:val="-11"/>
          <w:kern w:val="2"/>
          <w:sz w:val="44"/>
          <w:szCs w:val="44"/>
          <w:shd w:val="clear" w:color="auto" w:fill="FFFFFF"/>
        </w:rPr>
        <w:t>汉中市院士专家工作站建设管理办法（修订）</w:t>
      </w:r>
    </w:p>
    <w:p>
      <w:pPr>
        <w:pStyle w:val="2"/>
        <w:spacing w:before="0" w:beforeAutospacing="0" w:after="0" w:afterAutospacing="0" w:line="570" w:lineRule="exact"/>
        <w:jc w:val="center"/>
        <w:rPr>
          <w:rFonts w:ascii="楷体_GB2312" w:hAnsi="楷体_GB2312" w:eastAsia="楷体_GB2312" w:cs="楷体_GB2312"/>
          <w:color w:val="000000"/>
          <w:spacing w:val="-11"/>
          <w:sz w:val="32"/>
          <w:szCs w:val="32"/>
        </w:rPr>
      </w:pPr>
      <w:r>
        <w:rPr>
          <w:rFonts w:hint="eastAsia" w:ascii="楷体_GB2312" w:hAnsi="楷体_GB2312" w:eastAsia="楷体_GB2312" w:cs="楷体_GB2312"/>
          <w:color w:val="000000"/>
          <w:spacing w:val="-11"/>
          <w:sz w:val="32"/>
          <w:szCs w:val="32"/>
        </w:rPr>
        <w:t>（</w:t>
      </w:r>
      <w:r>
        <w:rPr>
          <w:rFonts w:ascii="楷体_GB2312" w:hAnsi="楷体_GB2312" w:eastAsia="楷体_GB2312" w:cs="楷体_GB2312"/>
          <w:color w:val="000000"/>
          <w:spacing w:val="-11"/>
          <w:sz w:val="32"/>
          <w:szCs w:val="32"/>
        </w:rPr>
        <w:t>2021</w:t>
      </w:r>
      <w:r>
        <w:rPr>
          <w:rFonts w:hint="eastAsia" w:ascii="楷体_GB2312" w:hAnsi="楷体_GB2312" w:eastAsia="楷体_GB2312" w:cs="楷体_GB2312"/>
          <w:color w:val="000000"/>
          <w:spacing w:val="-11"/>
          <w:sz w:val="32"/>
          <w:szCs w:val="32"/>
        </w:rPr>
        <w:t>年4月21日）</w:t>
      </w:r>
    </w:p>
    <w:p>
      <w:pPr>
        <w:pStyle w:val="2"/>
        <w:spacing w:before="0" w:beforeAutospacing="0" w:after="0" w:afterAutospacing="0" w:line="570" w:lineRule="exact"/>
        <w:ind w:firstLine="596" w:firstLineChars="200"/>
        <w:jc w:val="center"/>
        <w:rPr>
          <w:rFonts w:ascii="楷体_GB2312" w:hAnsi="楷体_GB2312" w:eastAsia="楷体_GB2312" w:cs="楷体_GB2312"/>
          <w:color w:val="000000"/>
          <w:spacing w:val="-11"/>
          <w:sz w:val="32"/>
          <w:szCs w:val="32"/>
        </w:rPr>
      </w:pPr>
    </w:p>
    <w:p>
      <w:pPr>
        <w:pStyle w:val="2"/>
        <w:spacing w:before="0" w:beforeAutospacing="0" w:after="0" w:afterAutospacing="0" w:line="570" w:lineRule="exact"/>
        <w:jc w:val="center"/>
        <w:rPr>
          <w:rFonts w:ascii="黑体" w:hAnsi="黑体" w:eastAsia="黑体"/>
          <w:bCs/>
          <w:snapToGrid w:val="0"/>
          <w:color w:val="000000"/>
          <w:kern w:val="2"/>
          <w:sz w:val="32"/>
          <w:szCs w:val="32"/>
        </w:rPr>
      </w:pPr>
      <w:r>
        <w:rPr>
          <w:rFonts w:hint="eastAsia" w:ascii="黑体" w:hAnsi="黑体" w:eastAsia="黑体"/>
          <w:bCs/>
          <w:snapToGrid w:val="0"/>
          <w:color w:val="000000"/>
          <w:kern w:val="2"/>
          <w:sz w:val="32"/>
          <w:szCs w:val="32"/>
        </w:rPr>
        <w:t>第一章</w:t>
      </w:r>
      <w:r>
        <w:rPr>
          <w:rFonts w:ascii="黑体" w:hAnsi="黑体" w:eastAsia="黑体"/>
          <w:bCs/>
          <w:snapToGrid w:val="0"/>
          <w:color w:val="000000"/>
          <w:kern w:val="2"/>
          <w:sz w:val="32"/>
          <w:szCs w:val="32"/>
        </w:rPr>
        <w:t xml:space="preserve"> </w:t>
      </w:r>
      <w:r>
        <w:rPr>
          <w:rFonts w:hint="eastAsia" w:ascii="黑体" w:hAnsi="黑体" w:eastAsia="黑体"/>
          <w:bCs/>
          <w:snapToGrid w:val="0"/>
          <w:color w:val="000000"/>
          <w:kern w:val="2"/>
          <w:sz w:val="32"/>
          <w:szCs w:val="32"/>
        </w:rPr>
        <w:t xml:space="preserve"> </w:t>
      </w:r>
      <w:r>
        <w:rPr>
          <w:rFonts w:ascii="黑体" w:hAnsi="黑体" w:eastAsia="黑体"/>
          <w:bCs/>
          <w:snapToGrid w:val="0"/>
          <w:color w:val="000000"/>
          <w:kern w:val="2"/>
          <w:sz w:val="32"/>
          <w:szCs w:val="32"/>
        </w:rPr>
        <w:t xml:space="preserve"> </w:t>
      </w:r>
      <w:r>
        <w:rPr>
          <w:rFonts w:hint="eastAsia" w:ascii="黑体" w:hAnsi="黑体" w:eastAsia="黑体"/>
          <w:bCs/>
          <w:snapToGrid w:val="0"/>
          <w:color w:val="000000"/>
          <w:kern w:val="2"/>
          <w:sz w:val="32"/>
          <w:szCs w:val="32"/>
        </w:rPr>
        <w:t>总</w:t>
      </w:r>
      <w:r>
        <w:rPr>
          <w:rFonts w:ascii="黑体" w:hAnsi="黑体" w:eastAsia="黑体"/>
          <w:bCs/>
          <w:snapToGrid w:val="0"/>
          <w:color w:val="000000"/>
          <w:kern w:val="2"/>
          <w:sz w:val="32"/>
          <w:szCs w:val="32"/>
        </w:rPr>
        <w:t xml:space="preserve"> </w:t>
      </w:r>
      <w:r>
        <w:rPr>
          <w:rFonts w:hint="eastAsia" w:ascii="黑体" w:hAnsi="黑体" w:eastAsia="黑体"/>
          <w:bCs/>
          <w:snapToGrid w:val="0"/>
          <w:color w:val="000000"/>
          <w:kern w:val="2"/>
          <w:sz w:val="32"/>
          <w:szCs w:val="32"/>
        </w:rPr>
        <w:t>则</w:t>
      </w:r>
    </w:p>
    <w:p>
      <w:pPr>
        <w:pStyle w:val="2"/>
        <w:spacing w:before="0" w:beforeAutospacing="0" w:after="0" w:afterAutospacing="0" w:line="570" w:lineRule="exact"/>
        <w:ind w:firstLine="640" w:firstLineChars="200"/>
        <w:jc w:val="both"/>
        <w:rPr>
          <w:rFonts w:ascii="仿宋_GB2312" w:eastAsia="仿宋_GB2312"/>
          <w:snapToGrid w:val="0"/>
          <w:color w:val="000000"/>
          <w:kern w:val="2"/>
          <w:sz w:val="32"/>
          <w:szCs w:val="32"/>
        </w:rPr>
      </w:pPr>
      <w:r>
        <w:rPr>
          <w:rFonts w:hint="eastAsia" w:ascii="楷体_GB2312" w:hAnsi="黑体" w:eastAsia="楷体_GB2312" w:cs="黑体"/>
          <w:bCs/>
          <w:snapToGrid w:val="0"/>
          <w:color w:val="000000"/>
          <w:kern w:val="2"/>
          <w:sz w:val="32"/>
          <w:szCs w:val="32"/>
        </w:rPr>
        <w:t>第一条</w:t>
      </w:r>
      <w:r>
        <w:rPr>
          <w:rFonts w:ascii="黑体" w:hAnsi="黑体" w:eastAsia="黑体" w:cs="黑体"/>
          <w:bCs/>
          <w:snapToGrid w:val="0"/>
          <w:color w:val="000000"/>
          <w:kern w:val="2"/>
          <w:sz w:val="32"/>
          <w:szCs w:val="32"/>
        </w:rPr>
        <w:t xml:space="preserve"> </w:t>
      </w:r>
      <w:r>
        <w:rPr>
          <w:rFonts w:hint="eastAsia" w:ascii="黑体" w:hAnsi="黑体" w:eastAsia="黑体" w:cs="黑体"/>
          <w:bCs/>
          <w:snapToGrid w:val="0"/>
          <w:color w:val="000000"/>
          <w:kern w:val="2"/>
          <w:sz w:val="32"/>
          <w:szCs w:val="32"/>
        </w:rPr>
        <w:t xml:space="preserve"> </w:t>
      </w:r>
      <w:r>
        <w:rPr>
          <w:rFonts w:hint="eastAsia" w:ascii="仿宋_GB2312" w:eastAsia="仿宋_GB2312"/>
          <w:snapToGrid w:val="0"/>
          <w:color w:val="000000"/>
          <w:kern w:val="2"/>
          <w:sz w:val="32"/>
          <w:szCs w:val="32"/>
        </w:rPr>
        <w:t>为深入贯彻习近平新时代中国特色社会主义思想，全面落实《汉中市深化人才发展体制机制改革的实施意见》，充分发挥高层次人才在协调推进新“三市”建设中的支撑引领作用，结合汉中实际，特修订本办法。</w:t>
      </w:r>
    </w:p>
    <w:p>
      <w:pPr>
        <w:spacing w:line="570" w:lineRule="exact"/>
        <w:ind w:firstLine="640" w:firstLineChars="200"/>
        <w:rPr>
          <w:rFonts w:ascii="仿宋_GB2312" w:hAnsi="宋体" w:eastAsia="仿宋_GB2312" w:cs="宋体"/>
          <w:snapToGrid w:val="0"/>
          <w:color w:val="000000"/>
          <w:sz w:val="32"/>
          <w:szCs w:val="32"/>
        </w:rPr>
      </w:pPr>
      <w:r>
        <w:rPr>
          <w:rFonts w:hint="eastAsia" w:ascii="楷体_GB2312" w:hAnsi="黑体" w:eastAsia="楷体_GB2312" w:cs="黑体"/>
          <w:bCs/>
          <w:snapToGrid w:val="0"/>
          <w:color w:val="000000"/>
          <w:sz w:val="32"/>
          <w:szCs w:val="32"/>
        </w:rPr>
        <w:t>第二条</w:t>
      </w:r>
      <w:r>
        <w:rPr>
          <w:rFonts w:ascii="黑体" w:hAnsi="黑体" w:eastAsia="黑体" w:cs="黑体"/>
          <w:bCs/>
          <w:snapToGrid w:val="0"/>
          <w:color w:val="000000"/>
          <w:sz w:val="32"/>
          <w:szCs w:val="32"/>
        </w:rPr>
        <w:t xml:space="preserve">  </w:t>
      </w:r>
      <w:r>
        <w:rPr>
          <w:rFonts w:hint="eastAsia" w:ascii="仿宋_GB2312" w:hAnsi="宋体" w:eastAsia="仿宋_GB2312" w:cs="宋体"/>
          <w:snapToGrid w:val="0"/>
          <w:color w:val="000000"/>
          <w:sz w:val="32"/>
          <w:szCs w:val="32"/>
        </w:rPr>
        <w:t>本办法所称院士专家工作站（以下简称“工作站”），是指以高层次人才专家及其创新团队为核心，并实质参与，以提高科研水平、促进产业发展、提升创新能力、培养创新人才为基础，依托在汉企事业单位组建的科技创新平台。</w:t>
      </w:r>
    </w:p>
    <w:p>
      <w:pPr>
        <w:spacing w:line="570" w:lineRule="exact"/>
        <w:ind w:firstLine="640" w:firstLineChars="200"/>
        <w:rPr>
          <w:rFonts w:ascii="仿宋_GB2312" w:hAnsi="宋体" w:eastAsia="仿宋_GB2312" w:cs="宋体"/>
          <w:snapToGrid w:val="0"/>
          <w:color w:val="000000"/>
          <w:sz w:val="32"/>
          <w:szCs w:val="32"/>
        </w:rPr>
      </w:pPr>
      <w:r>
        <w:rPr>
          <w:rFonts w:hint="eastAsia" w:ascii="楷体_GB2312" w:hAnsi="黑体" w:eastAsia="楷体_GB2312" w:cs="黑体"/>
          <w:bCs/>
          <w:snapToGrid w:val="0"/>
          <w:color w:val="000000"/>
          <w:sz w:val="32"/>
          <w:szCs w:val="32"/>
        </w:rPr>
        <w:t>第三条</w:t>
      </w:r>
      <w:r>
        <w:rPr>
          <w:rFonts w:ascii="黑体" w:hAnsi="黑体" w:eastAsia="黑体" w:cs="黑体"/>
          <w:bCs/>
          <w:snapToGrid w:val="0"/>
          <w:color w:val="000000"/>
          <w:sz w:val="32"/>
          <w:szCs w:val="32"/>
        </w:rPr>
        <w:t xml:space="preserve">  </w:t>
      </w:r>
      <w:r>
        <w:rPr>
          <w:rFonts w:hint="eastAsia" w:ascii="仿宋_GB2312" w:hAnsi="宋体" w:eastAsia="仿宋_GB2312" w:cs="宋体"/>
          <w:snapToGrid w:val="0"/>
          <w:color w:val="000000"/>
          <w:sz w:val="32"/>
          <w:szCs w:val="32"/>
        </w:rPr>
        <w:t>工作站旨在通过柔性引进高层次人才专家及其创新团队，帮助我市企事业单位解决关键技术难题和科技成果转化，提升高素质人才队伍培养和建设水平，为推进汉中企事业单位技术进步、助力汉中追赶超越发展提供有力的科技创新人才支撑。</w:t>
      </w:r>
    </w:p>
    <w:p>
      <w:pPr>
        <w:pStyle w:val="2"/>
        <w:spacing w:before="0" w:beforeAutospacing="0" w:after="0" w:afterAutospacing="0" w:line="570" w:lineRule="exact"/>
        <w:jc w:val="center"/>
        <w:rPr>
          <w:rFonts w:ascii="黑体" w:hAnsi="黑体" w:eastAsia="黑体"/>
          <w:bCs/>
          <w:snapToGrid w:val="0"/>
          <w:color w:val="000000"/>
          <w:kern w:val="2"/>
          <w:sz w:val="32"/>
          <w:szCs w:val="32"/>
        </w:rPr>
      </w:pPr>
      <w:r>
        <w:rPr>
          <w:rFonts w:hint="eastAsia" w:ascii="黑体" w:hAnsi="黑体" w:eastAsia="黑体"/>
          <w:bCs/>
          <w:snapToGrid w:val="0"/>
          <w:color w:val="000000"/>
          <w:kern w:val="2"/>
          <w:sz w:val="32"/>
          <w:szCs w:val="32"/>
        </w:rPr>
        <w:t>第二章   建站条件</w:t>
      </w:r>
    </w:p>
    <w:p>
      <w:pPr>
        <w:spacing w:line="570" w:lineRule="exact"/>
        <w:ind w:firstLine="640" w:firstLineChars="200"/>
        <w:rPr>
          <w:rFonts w:ascii="仿宋_GB2312" w:hAnsi="宋体" w:eastAsia="仿宋_GB2312" w:cs="宋体"/>
          <w:snapToGrid w:val="0"/>
          <w:color w:val="000000"/>
          <w:sz w:val="32"/>
          <w:szCs w:val="32"/>
        </w:rPr>
      </w:pPr>
      <w:r>
        <w:rPr>
          <w:rFonts w:hint="eastAsia" w:ascii="楷体_GB2312" w:hAnsi="黑体" w:eastAsia="楷体_GB2312" w:cs="黑体"/>
          <w:bCs/>
          <w:snapToGrid w:val="0"/>
          <w:color w:val="000000"/>
          <w:sz w:val="32"/>
          <w:szCs w:val="32"/>
        </w:rPr>
        <w:t>第四条</w:t>
      </w:r>
      <w:r>
        <w:rPr>
          <w:rFonts w:ascii="仿宋_GB2312" w:hAnsi="宋体" w:eastAsia="仿宋_GB2312" w:cs="宋体"/>
          <w:snapToGrid w:val="0"/>
          <w:color w:val="000000"/>
          <w:sz w:val="32"/>
          <w:szCs w:val="32"/>
        </w:rPr>
        <w:t xml:space="preserve">  </w:t>
      </w:r>
      <w:r>
        <w:rPr>
          <w:rFonts w:hint="eastAsia" w:ascii="仿宋_GB2312" w:hAnsi="宋体" w:eastAsia="仿宋_GB2312" w:cs="宋体"/>
          <w:snapToGrid w:val="0"/>
          <w:color w:val="000000"/>
          <w:sz w:val="32"/>
          <w:szCs w:val="32"/>
        </w:rPr>
        <w:t>工作站所指的院士专家，主要包括：</w:t>
      </w:r>
    </w:p>
    <w:p>
      <w:pPr>
        <w:spacing w:line="570"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（一）中国科学院院士、中国工程院院士或海外知名研究机构院士（含院士指导的团队）；</w:t>
      </w:r>
    </w:p>
    <w:p>
      <w:pPr>
        <w:spacing w:line="570"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（二）国家重点人才计划入选者、国家“万人计划”杰出人才及入选者、国家杰出青年科学基金获得者、“长江学者”特聘教授、国医大师及其他达到同等水平的科技领军人才；</w:t>
      </w:r>
    </w:p>
    <w:p>
      <w:pPr>
        <w:spacing w:line="570"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（三）市域外具有二级教授及以上资质的人才；</w:t>
      </w:r>
    </w:p>
    <w:p>
      <w:pPr>
        <w:spacing w:line="570"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（四）其他相当于上述层次的自然科学与工程技术类人才。</w:t>
      </w:r>
    </w:p>
    <w:p>
      <w:pPr>
        <w:pStyle w:val="2"/>
        <w:spacing w:before="0" w:beforeAutospacing="0" w:after="0" w:afterAutospacing="0" w:line="570" w:lineRule="exact"/>
        <w:ind w:firstLine="640" w:firstLineChars="200"/>
        <w:rPr>
          <w:rFonts w:ascii="仿宋_GB2312" w:eastAsia="仿宋_GB2312"/>
          <w:snapToGrid w:val="0"/>
          <w:color w:val="000000"/>
          <w:kern w:val="2"/>
          <w:sz w:val="32"/>
          <w:szCs w:val="32"/>
        </w:rPr>
      </w:pPr>
      <w:r>
        <w:rPr>
          <w:rFonts w:hint="eastAsia" w:ascii="楷体_GB2312" w:hAnsi="黑体" w:eastAsia="楷体_GB2312" w:cs="黑体"/>
          <w:bCs/>
          <w:snapToGrid w:val="0"/>
          <w:color w:val="000000"/>
          <w:kern w:val="2"/>
          <w:sz w:val="32"/>
          <w:szCs w:val="32"/>
        </w:rPr>
        <w:t>第五条</w:t>
      </w:r>
      <w:r>
        <w:rPr>
          <w:rFonts w:ascii="楷体_GB2312" w:hAnsi="黑体" w:eastAsia="楷体_GB2312" w:cs="黑体"/>
          <w:bCs/>
          <w:snapToGrid w:val="0"/>
          <w:color w:val="000000"/>
          <w:kern w:val="2"/>
          <w:sz w:val="32"/>
          <w:szCs w:val="32"/>
        </w:rPr>
        <w:t xml:space="preserve"> </w:t>
      </w:r>
      <w:r>
        <w:rPr>
          <w:rFonts w:ascii="黑体" w:hAnsi="黑体" w:eastAsia="黑体" w:cs="黑体"/>
          <w:bCs/>
          <w:snapToGrid w:val="0"/>
          <w:color w:val="000000"/>
          <w:kern w:val="2"/>
          <w:sz w:val="32"/>
          <w:szCs w:val="32"/>
        </w:rPr>
        <w:t xml:space="preserve"> </w:t>
      </w:r>
      <w:r>
        <w:rPr>
          <w:rFonts w:hint="eastAsia" w:ascii="仿宋_GB2312" w:eastAsia="仿宋_GB2312"/>
          <w:snapToGrid w:val="0"/>
          <w:color w:val="000000"/>
          <w:kern w:val="2"/>
          <w:sz w:val="32"/>
          <w:szCs w:val="32"/>
        </w:rPr>
        <w:t>工作站由企事业单位自愿设立。企事业单位有急需专家协助解决的技术难题、攻关课题，且符合以下条件的，可申请设立工作站：</w:t>
      </w:r>
    </w:p>
    <w:p>
      <w:pPr>
        <w:pStyle w:val="2"/>
        <w:spacing w:before="0" w:beforeAutospacing="0" w:after="0" w:afterAutospacing="0" w:line="570" w:lineRule="exact"/>
        <w:ind w:firstLine="640" w:firstLineChars="200"/>
        <w:rPr>
          <w:rFonts w:ascii="仿宋_GB2312" w:eastAsia="仿宋_GB2312"/>
          <w:snapToGrid w:val="0"/>
          <w:color w:val="000000"/>
          <w:kern w:val="2"/>
          <w:sz w:val="32"/>
          <w:szCs w:val="32"/>
        </w:rPr>
      </w:pPr>
      <w:r>
        <w:rPr>
          <w:rFonts w:hint="eastAsia" w:ascii="仿宋_GB2312" w:eastAsia="仿宋_GB2312"/>
          <w:snapToGrid w:val="0"/>
          <w:color w:val="000000"/>
          <w:kern w:val="2"/>
          <w:sz w:val="32"/>
          <w:szCs w:val="32"/>
        </w:rPr>
        <w:t>（一）在汉中市内注册，具备独立法人资格的企业、产业园区、科研院所、医疗机构、学校等；</w:t>
      </w:r>
    </w:p>
    <w:p>
      <w:pPr>
        <w:pStyle w:val="2"/>
        <w:spacing w:before="0" w:beforeAutospacing="0" w:after="0" w:afterAutospacing="0" w:line="570" w:lineRule="exact"/>
        <w:ind w:firstLine="640" w:firstLineChars="200"/>
        <w:rPr>
          <w:rFonts w:ascii="仿宋_GB2312" w:eastAsia="仿宋_GB2312"/>
          <w:snapToGrid w:val="0"/>
          <w:color w:val="000000"/>
          <w:kern w:val="2"/>
          <w:sz w:val="32"/>
          <w:szCs w:val="32"/>
        </w:rPr>
      </w:pPr>
      <w:r>
        <w:rPr>
          <w:rFonts w:hint="eastAsia" w:ascii="仿宋_GB2312" w:eastAsia="仿宋_GB2312"/>
          <w:snapToGrid w:val="0"/>
          <w:color w:val="000000"/>
          <w:kern w:val="2"/>
          <w:sz w:val="32"/>
          <w:szCs w:val="32"/>
        </w:rPr>
        <w:t>（二）具备较强研发能力，拥有专门的研发机构，研发团队结构合理，能为院士专家及其团队进站工作提供必要的科研、生活条件及其他后勤保障；</w:t>
      </w:r>
    </w:p>
    <w:p>
      <w:pPr>
        <w:pStyle w:val="2"/>
        <w:spacing w:before="0" w:beforeAutospacing="0" w:after="0" w:afterAutospacing="0" w:line="570" w:lineRule="exact"/>
        <w:ind w:firstLine="640" w:firstLineChars="200"/>
        <w:rPr>
          <w:rFonts w:ascii="仿宋_GB2312" w:eastAsia="仿宋_GB2312"/>
          <w:snapToGrid w:val="0"/>
          <w:color w:val="000000"/>
          <w:kern w:val="2"/>
          <w:sz w:val="32"/>
          <w:szCs w:val="32"/>
        </w:rPr>
      </w:pPr>
      <w:r>
        <w:rPr>
          <w:rFonts w:hint="eastAsia" w:ascii="仿宋_GB2312" w:eastAsia="仿宋_GB2312"/>
          <w:snapToGrid w:val="0"/>
          <w:color w:val="000000"/>
          <w:kern w:val="2"/>
          <w:sz w:val="32"/>
          <w:szCs w:val="32"/>
        </w:rPr>
        <w:t>（三）与引进的院士专家有前期合作基础，有明确的科技创新与成果转化合作任务，签订3年及以上的建站合作协议，双方书面协议约定事项应工作目标清晰、任务具体、分工明确、指标量化、知识产权归属和受益分配清楚、成果可评价；</w:t>
      </w:r>
    </w:p>
    <w:p>
      <w:pPr>
        <w:pStyle w:val="2"/>
        <w:spacing w:before="0" w:beforeAutospacing="0" w:after="0" w:afterAutospacing="0" w:line="570" w:lineRule="exact"/>
        <w:ind w:firstLine="640" w:firstLineChars="200"/>
        <w:rPr>
          <w:rFonts w:ascii="仿宋_GB2312" w:eastAsia="仿宋_GB2312"/>
          <w:snapToGrid w:val="0"/>
          <w:color w:val="000000"/>
          <w:kern w:val="2"/>
          <w:sz w:val="32"/>
          <w:szCs w:val="32"/>
        </w:rPr>
      </w:pPr>
      <w:r>
        <w:rPr>
          <w:rFonts w:hint="eastAsia" w:ascii="仿宋_GB2312" w:eastAsia="仿宋_GB2312"/>
          <w:snapToGrid w:val="0"/>
          <w:color w:val="000000"/>
          <w:kern w:val="2"/>
          <w:sz w:val="32"/>
          <w:szCs w:val="32"/>
        </w:rPr>
        <w:t>（四）申请建站的企业，应生产经营状况良好，且上年度科研经费投入不少于销售收入的2%。</w:t>
      </w:r>
    </w:p>
    <w:p>
      <w:pPr>
        <w:spacing w:line="570" w:lineRule="exact"/>
        <w:ind w:firstLine="640" w:firstLineChars="200"/>
        <w:rPr>
          <w:rFonts w:ascii="黑体" w:hAnsi="黑体" w:eastAsia="黑体" w:cs="黑体"/>
          <w:bCs/>
          <w:snapToGrid w:val="0"/>
          <w:color w:val="000000"/>
          <w:sz w:val="32"/>
          <w:szCs w:val="32"/>
        </w:rPr>
      </w:pPr>
      <w:r>
        <w:rPr>
          <w:rFonts w:hint="eastAsia" w:ascii="楷体_GB2312" w:hAnsi="黑体" w:eastAsia="楷体_GB2312" w:cs="黑体"/>
          <w:bCs/>
          <w:snapToGrid w:val="0"/>
          <w:color w:val="000000"/>
          <w:sz w:val="32"/>
          <w:szCs w:val="32"/>
        </w:rPr>
        <w:t>第六条</w:t>
      </w:r>
      <w:r>
        <w:rPr>
          <w:rFonts w:ascii="黑体" w:hAnsi="黑体" w:eastAsia="黑体" w:cs="黑体"/>
          <w:bCs/>
          <w:snapToGrid w:val="0"/>
          <w:color w:val="000000"/>
          <w:sz w:val="32"/>
          <w:szCs w:val="32"/>
        </w:rPr>
        <w:t xml:space="preserve">  </w:t>
      </w:r>
      <w:r>
        <w:rPr>
          <w:rFonts w:hint="eastAsia" w:ascii="仿宋_GB2312" w:hAnsi="宋体" w:eastAsia="仿宋_GB2312" w:cs="宋体"/>
          <w:snapToGrid w:val="0"/>
          <w:color w:val="000000"/>
          <w:sz w:val="32"/>
          <w:szCs w:val="32"/>
        </w:rPr>
        <w:t>工作站主要任务：</w:t>
      </w:r>
    </w:p>
    <w:p>
      <w:pPr>
        <w:spacing w:line="570"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（一）根据建站单位发展需求，组织院士、专家开展技术创新，为建站单位提供战略咨询和技术指导；</w:t>
      </w:r>
    </w:p>
    <w:p>
      <w:pPr>
        <w:spacing w:line="570"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二）围绕建站单位发展急需解决的重大技术难题，组建院士、专家和建站单位研发人员组成的联合攻关团队，开展关键技术和项目合作，引进院士专家团队的先进科技成果，合作推进成果对接、转化和产业化，培育自主知识产权体系和品牌；</w:t>
      </w:r>
    </w:p>
    <w:p>
      <w:pPr>
        <w:spacing w:line="570"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（三）与院士专家及其团队或其所在单位共建多种形式的人才培养机制，联合培养创新创业人才，建立各类创新型人才培养基地，协助建站单位引进、聚集、培养高素质的创新技术人才和管理人才；</w:t>
      </w:r>
    </w:p>
    <w:p>
      <w:pPr>
        <w:spacing w:line="570"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（四）与院士专家及其团队联合申报并共同承担各类重大专项、重大科技项目和工程等，联合攻关相关核心技术，培育新兴产业。</w:t>
      </w:r>
    </w:p>
    <w:p>
      <w:pPr>
        <w:spacing w:line="570" w:lineRule="exact"/>
        <w:ind w:firstLine="640" w:firstLineChars="200"/>
        <w:rPr>
          <w:rFonts w:ascii="仿宋_GB2312" w:eastAsia="仿宋_GB2312"/>
          <w:snapToGrid w:val="0"/>
          <w:color w:val="000000"/>
          <w:sz w:val="32"/>
          <w:szCs w:val="32"/>
        </w:rPr>
      </w:pPr>
      <w:r>
        <w:rPr>
          <w:rFonts w:hint="eastAsia" w:ascii="楷体_GB2312" w:hAnsi="黑体" w:eastAsia="楷体_GB2312" w:cs="黑体"/>
          <w:bCs/>
          <w:snapToGrid w:val="0"/>
          <w:color w:val="000000"/>
          <w:sz w:val="32"/>
          <w:szCs w:val="32"/>
        </w:rPr>
        <w:t>第七条</w:t>
      </w:r>
      <w:r>
        <w:rPr>
          <w:rFonts w:ascii="黑体" w:hAnsi="黑体" w:eastAsia="黑体" w:cs="黑体"/>
          <w:bCs/>
          <w:snapToGrid w:val="0"/>
          <w:color w:val="000000"/>
          <w:sz w:val="32"/>
          <w:szCs w:val="32"/>
        </w:rPr>
        <w:t xml:space="preserve">  </w:t>
      </w:r>
      <w:r>
        <w:rPr>
          <w:rFonts w:hint="eastAsia" w:ascii="仿宋_GB2312" w:hAnsi="宋体" w:eastAsia="仿宋_GB2312" w:cs="宋体"/>
          <w:snapToGrid w:val="0"/>
          <w:color w:val="000000"/>
          <w:sz w:val="32"/>
          <w:szCs w:val="32"/>
        </w:rPr>
        <w:t>建有市级（含）以上工程技术研究中心、企业技术中心、重点实验室、制造业创新中心、实践（培训、成果转化）基地、重点学科建设、科研工作站等研发载体，近三年承担国家和省、市重大项目、课题的单位以及市级（含）以上创新型科技企业、园区可优先申请设立市级院士专家工作站。各党政机关单位部门一般不作为建站主体。</w:t>
      </w:r>
    </w:p>
    <w:p>
      <w:pPr>
        <w:pStyle w:val="2"/>
        <w:spacing w:before="0" w:beforeAutospacing="0" w:after="0" w:afterAutospacing="0" w:line="570" w:lineRule="exact"/>
        <w:jc w:val="center"/>
        <w:rPr>
          <w:rFonts w:ascii="黑体" w:hAnsi="黑体" w:eastAsia="黑体"/>
          <w:bCs/>
          <w:snapToGrid w:val="0"/>
          <w:color w:val="000000"/>
          <w:kern w:val="2"/>
          <w:sz w:val="32"/>
          <w:szCs w:val="32"/>
        </w:rPr>
      </w:pPr>
      <w:r>
        <w:rPr>
          <w:rFonts w:hint="eastAsia" w:ascii="黑体" w:hAnsi="黑体" w:eastAsia="黑体"/>
          <w:bCs/>
          <w:snapToGrid w:val="0"/>
          <w:color w:val="000000"/>
          <w:kern w:val="2"/>
          <w:sz w:val="32"/>
          <w:szCs w:val="32"/>
        </w:rPr>
        <w:t>第三章   申报认定</w:t>
      </w:r>
    </w:p>
    <w:p>
      <w:pPr>
        <w:spacing w:line="570" w:lineRule="exact"/>
        <w:ind w:firstLine="640" w:firstLineChars="200"/>
        <w:rPr>
          <w:rFonts w:ascii="仿宋_GB2312" w:hAnsi="宋体" w:eastAsia="仿宋_GB2312" w:cs="宋体"/>
          <w:snapToGrid w:val="0"/>
          <w:color w:val="000000"/>
          <w:sz w:val="32"/>
          <w:szCs w:val="32"/>
        </w:rPr>
      </w:pPr>
      <w:r>
        <w:rPr>
          <w:rFonts w:hint="eastAsia" w:ascii="楷体_GB2312" w:hAnsi="黑体" w:eastAsia="楷体_GB2312" w:cs="黑体"/>
          <w:bCs/>
          <w:snapToGrid w:val="0"/>
          <w:color w:val="000000"/>
          <w:sz w:val="32"/>
          <w:szCs w:val="32"/>
        </w:rPr>
        <w:t>第八条</w:t>
      </w:r>
      <w:r>
        <w:rPr>
          <w:rFonts w:ascii="黑体" w:hAnsi="黑体" w:eastAsia="黑体" w:cs="黑体"/>
          <w:bCs/>
          <w:snapToGrid w:val="0"/>
          <w:color w:val="000000"/>
          <w:sz w:val="32"/>
          <w:szCs w:val="32"/>
        </w:rPr>
        <w:t xml:space="preserve">  </w:t>
      </w:r>
      <w:r>
        <w:rPr>
          <w:rFonts w:hint="eastAsia" w:ascii="仿宋_GB2312" w:hAnsi="宋体" w:eastAsia="仿宋_GB2312" w:cs="宋体"/>
          <w:snapToGrid w:val="0"/>
          <w:color w:val="000000"/>
          <w:sz w:val="32"/>
          <w:szCs w:val="32"/>
        </w:rPr>
        <w:t>市级工作站的申报与认定原则上在各县区、中省驻汉单位或市属相关部门已认定且已运行一年以上的工作站基础上进行。</w:t>
      </w:r>
    </w:p>
    <w:p>
      <w:pPr>
        <w:spacing w:line="570" w:lineRule="exact"/>
        <w:ind w:firstLine="640" w:firstLineChars="200"/>
        <w:rPr>
          <w:rFonts w:ascii="仿宋_GB2312" w:hAnsi="宋体" w:eastAsia="仿宋_GB2312" w:cs="宋体"/>
          <w:snapToGrid w:val="0"/>
          <w:color w:val="000000"/>
          <w:sz w:val="32"/>
          <w:szCs w:val="32"/>
        </w:rPr>
      </w:pPr>
      <w:r>
        <w:rPr>
          <w:rFonts w:hint="eastAsia" w:ascii="楷体_GB2312" w:hAnsi="黑体" w:eastAsia="楷体_GB2312" w:cs="黑体"/>
          <w:bCs/>
          <w:snapToGrid w:val="0"/>
          <w:color w:val="000000"/>
          <w:sz w:val="32"/>
          <w:szCs w:val="32"/>
        </w:rPr>
        <w:t>第九条</w:t>
      </w:r>
      <w:r>
        <w:rPr>
          <w:rFonts w:ascii="仿宋_GB2312" w:hAnsi="宋体" w:eastAsia="仿宋_GB2312" w:cs="宋体"/>
          <w:snapToGrid w:val="0"/>
          <w:color w:val="000000"/>
          <w:sz w:val="32"/>
          <w:szCs w:val="32"/>
        </w:rPr>
        <w:t xml:space="preserve">  </w:t>
      </w:r>
      <w:r>
        <w:rPr>
          <w:rFonts w:hint="eastAsia" w:ascii="仿宋_GB2312" w:hAnsi="宋体" w:eastAsia="仿宋_GB2312" w:cs="宋体"/>
          <w:snapToGrid w:val="0"/>
          <w:color w:val="000000"/>
          <w:sz w:val="32"/>
          <w:szCs w:val="32"/>
        </w:rPr>
        <w:t>县区所属建站单位按照属地管理进行，申报、推荐和初选工作由各县区委组织部和科协牵头组织实施，其他相关部门支持配合；各推荐单位应对申报材料进行初审，提出推荐意见后报送市科协。中省驻汉单位、市属单位等建站主体可直接向市科协申报。（涉及单位秘密事项按照有关规定处理后报送）。</w:t>
      </w:r>
    </w:p>
    <w:p>
      <w:pPr>
        <w:spacing w:line="570" w:lineRule="exact"/>
        <w:ind w:firstLine="640" w:firstLineChars="200"/>
        <w:rPr>
          <w:rFonts w:ascii="仿宋_GB2312" w:hAnsi="宋体" w:eastAsia="仿宋_GB2312" w:cs="宋体"/>
          <w:snapToGrid w:val="0"/>
          <w:color w:val="000000"/>
          <w:sz w:val="32"/>
          <w:szCs w:val="32"/>
        </w:rPr>
      </w:pPr>
      <w:r>
        <w:rPr>
          <w:rFonts w:hint="eastAsia" w:ascii="楷体_GB2312" w:hAnsi="黑体" w:eastAsia="楷体_GB2312" w:cs="黑体"/>
          <w:bCs/>
          <w:snapToGrid w:val="0"/>
          <w:color w:val="000000"/>
          <w:sz w:val="32"/>
          <w:szCs w:val="32"/>
        </w:rPr>
        <w:t>第十条</w:t>
      </w:r>
      <w:r>
        <w:rPr>
          <w:rFonts w:ascii="黑体" w:hAnsi="黑体" w:eastAsia="黑体" w:cs="黑体"/>
          <w:bCs/>
          <w:snapToGrid w:val="0"/>
          <w:color w:val="000000"/>
          <w:sz w:val="32"/>
          <w:szCs w:val="32"/>
        </w:rPr>
        <w:t xml:space="preserve">  </w:t>
      </w:r>
      <w:r>
        <w:rPr>
          <w:rFonts w:hint="eastAsia" w:ascii="仿宋_GB2312" w:eastAsia="仿宋_GB2312"/>
          <w:snapToGrid w:val="0"/>
          <w:color w:val="000000"/>
          <w:sz w:val="32"/>
          <w:szCs w:val="32"/>
        </w:rPr>
        <w:t>市级工作站的申报、认定工作在市委人才工作领导小组的领导下遵循</w:t>
      </w:r>
      <w:r>
        <w:rPr>
          <w:rFonts w:ascii="仿宋_GB2312" w:eastAsia="仿宋_GB2312"/>
          <w:snapToGrid w:val="0"/>
          <w:color w:val="000000"/>
          <w:sz w:val="32"/>
          <w:szCs w:val="32"/>
        </w:rPr>
        <w:t>“</w:t>
      </w:r>
      <w:r>
        <w:rPr>
          <w:rFonts w:hint="eastAsia" w:ascii="仿宋_GB2312" w:eastAsia="仿宋_GB2312"/>
          <w:snapToGrid w:val="0"/>
          <w:color w:val="000000"/>
          <w:sz w:val="32"/>
          <w:szCs w:val="32"/>
        </w:rPr>
        <w:t>公平、公正、公开、择优</w:t>
      </w:r>
      <w:r>
        <w:rPr>
          <w:rFonts w:ascii="仿宋_GB2312" w:eastAsia="仿宋_GB2312"/>
          <w:snapToGrid w:val="0"/>
          <w:color w:val="000000"/>
          <w:sz w:val="32"/>
          <w:szCs w:val="32"/>
        </w:rPr>
        <w:t>”</w:t>
      </w:r>
      <w:r>
        <w:rPr>
          <w:rFonts w:hint="eastAsia" w:ascii="仿宋_GB2312" w:eastAsia="仿宋_GB2312"/>
          <w:snapToGrid w:val="0"/>
          <w:color w:val="000000"/>
          <w:sz w:val="32"/>
          <w:szCs w:val="32"/>
        </w:rPr>
        <w:t>的原则每年开展1次。申报、认定程序为：</w:t>
      </w:r>
    </w:p>
    <w:p>
      <w:pPr>
        <w:spacing w:line="570" w:lineRule="exact"/>
        <w:ind w:firstLine="640" w:firstLineChars="200"/>
        <w:rPr>
          <w:rFonts w:hint="eastAsia"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（一）</w:t>
      </w:r>
      <w:r>
        <w:rPr>
          <w:rFonts w:hint="eastAsia" w:ascii="仿宋_GB2312" w:hAnsi="楷体_GB2312" w:eastAsia="仿宋_GB2312" w:cs="楷体_GB2312"/>
          <w:snapToGrid w:val="0"/>
          <w:color w:val="000000"/>
          <w:sz w:val="32"/>
          <w:szCs w:val="32"/>
        </w:rPr>
        <w:t>申报。</w:t>
      </w:r>
      <w:r>
        <w:rPr>
          <w:rFonts w:hint="eastAsia" w:ascii="仿宋_GB2312" w:hAnsi="宋体" w:eastAsia="仿宋_GB2312" w:cs="宋体"/>
          <w:snapToGrid w:val="0"/>
          <w:color w:val="000000"/>
          <w:sz w:val="32"/>
          <w:szCs w:val="32"/>
        </w:rPr>
        <w:t>由符合条件的建站单位提出申请并经县区或相关部门初审、推荐，于每年6月30日前向市科协提交申报材料；</w:t>
      </w:r>
    </w:p>
    <w:p>
      <w:pPr>
        <w:spacing w:line="570" w:lineRule="exact"/>
        <w:ind w:firstLine="640" w:firstLineChars="200"/>
        <w:rPr>
          <w:rFonts w:hint="eastAsia" w:ascii="仿宋_GB2312" w:hAnsi="宋体" w:eastAsia="仿宋_GB2312" w:cs="宋体"/>
          <w:b/>
          <w:snapToGrid w:val="0"/>
          <w:color w:val="000000"/>
          <w:sz w:val="32"/>
          <w:szCs w:val="32"/>
        </w:rPr>
      </w:pPr>
      <w:r>
        <w:rPr>
          <w:rFonts w:hint="eastAsia" w:ascii="仿宋_GB2312" w:hAnsi="宋体" w:eastAsia="仿宋_GB2312" w:cs="宋体"/>
          <w:snapToGrid w:val="0"/>
          <w:color w:val="000000"/>
          <w:sz w:val="32"/>
          <w:szCs w:val="32"/>
        </w:rPr>
        <w:t>（二）</w:t>
      </w:r>
      <w:r>
        <w:rPr>
          <w:rFonts w:hint="eastAsia" w:ascii="仿宋_GB2312" w:hAnsi="楷体_GB2312" w:eastAsia="仿宋_GB2312" w:cs="楷体_GB2312"/>
          <w:snapToGrid w:val="0"/>
          <w:color w:val="000000"/>
          <w:sz w:val="32"/>
          <w:szCs w:val="32"/>
        </w:rPr>
        <w:t>初审。</w:t>
      </w:r>
      <w:r>
        <w:rPr>
          <w:rFonts w:hint="eastAsia" w:ascii="仿宋_GB2312" w:hAnsi="宋体" w:eastAsia="仿宋_GB2312" w:cs="宋体"/>
          <w:snapToGrid w:val="0"/>
          <w:color w:val="000000"/>
          <w:sz w:val="32"/>
          <w:szCs w:val="32"/>
        </w:rPr>
        <w:t>市委组织部、市科协对提交的申报材料进行复审，并提出初步验收名单；</w:t>
      </w:r>
    </w:p>
    <w:p>
      <w:pPr>
        <w:spacing w:line="570" w:lineRule="exact"/>
        <w:ind w:firstLine="640" w:firstLineChars="200"/>
        <w:rPr>
          <w:rFonts w:hint="eastAsia"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（三）</w:t>
      </w:r>
      <w:r>
        <w:rPr>
          <w:rFonts w:hint="eastAsia" w:ascii="仿宋_GB2312" w:hAnsi="楷体_GB2312" w:eastAsia="仿宋_GB2312" w:cs="楷体_GB2312"/>
          <w:snapToGrid w:val="0"/>
          <w:color w:val="000000"/>
          <w:sz w:val="32"/>
          <w:szCs w:val="32"/>
        </w:rPr>
        <w:t>验收。</w:t>
      </w:r>
      <w:r>
        <w:rPr>
          <w:rFonts w:hint="eastAsia" w:ascii="仿宋_GB2312" w:hAnsi="宋体" w:eastAsia="仿宋_GB2312" w:cs="宋体"/>
          <w:snapToGrid w:val="0"/>
          <w:color w:val="000000"/>
          <w:sz w:val="32"/>
          <w:szCs w:val="32"/>
        </w:rPr>
        <w:t>市委组织部牵头组织相关单位专家赴符合条件的建站单位进行实地检查验收；</w:t>
      </w:r>
    </w:p>
    <w:p>
      <w:pPr>
        <w:spacing w:line="570"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（四）</w:t>
      </w:r>
      <w:r>
        <w:rPr>
          <w:rFonts w:hint="eastAsia" w:ascii="仿宋_GB2312" w:hAnsi="楷体_GB2312" w:eastAsia="仿宋_GB2312" w:cs="楷体_GB2312"/>
          <w:snapToGrid w:val="0"/>
          <w:color w:val="000000"/>
          <w:sz w:val="32"/>
          <w:szCs w:val="32"/>
        </w:rPr>
        <w:t>审定</w:t>
      </w:r>
      <w:r>
        <w:rPr>
          <w:rFonts w:hint="eastAsia" w:ascii="仿宋_GB2312" w:hAnsi="宋体" w:eastAsia="仿宋_GB2312" w:cs="宋体"/>
          <w:snapToGrid w:val="0"/>
          <w:color w:val="000000"/>
          <w:sz w:val="32"/>
          <w:szCs w:val="32"/>
        </w:rPr>
        <w:t>。召开市院士专家工作站建设协调小组会议，对命名工作站进行审核，并报经市委人才工作领导小组审定后在相关网站进行公示，公示期不少于5个工作日。公示无异议的，由市委人才工作领导小组发文认定为“汉中市院士专家工作站”并授牌。</w:t>
      </w:r>
    </w:p>
    <w:p>
      <w:pPr>
        <w:spacing w:line="570" w:lineRule="exact"/>
        <w:ind w:firstLine="640" w:firstLineChars="200"/>
        <w:rPr>
          <w:rFonts w:ascii="仿宋_GB2312" w:hAnsi="宋体" w:eastAsia="仿宋_GB2312" w:cs="宋体"/>
          <w:snapToGrid w:val="0"/>
          <w:color w:val="000000"/>
          <w:sz w:val="32"/>
          <w:szCs w:val="32"/>
        </w:rPr>
      </w:pPr>
      <w:r>
        <w:rPr>
          <w:rFonts w:hint="eastAsia" w:ascii="楷体_GB2312" w:hAnsi="黑体" w:eastAsia="楷体_GB2312" w:cs="黑体"/>
          <w:bCs/>
          <w:snapToGrid w:val="0"/>
          <w:color w:val="000000"/>
          <w:sz w:val="32"/>
          <w:szCs w:val="32"/>
        </w:rPr>
        <w:t>第十一条</w:t>
      </w:r>
      <w:r>
        <w:rPr>
          <w:rFonts w:ascii="黑体" w:hAnsi="黑体" w:eastAsia="黑体" w:cs="黑体"/>
          <w:bCs/>
          <w:snapToGrid w:val="0"/>
          <w:color w:val="000000"/>
          <w:sz w:val="32"/>
          <w:szCs w:val="32"/>
        </w:rPr>
        <w:t xml:space="preserve">  </w:t>
      </w:r>
      <w:r>
        <w:rPr>
          <w:rFonts w:hint="eastAsia" w:ascii="仿宋_GB2312" w:hAnsi="宋体" w:eastAsia="仿宋_GB2312" w:cs="宋体"/>
          <w:snapToGrid w:val="0"/>
          <w:color w:val="000000"/>
          <w:sz w:val="32"/>
          <w:szCs w:val="32"/>
        </w:rPr>
        <w:t>引进院士的建站主体，在与院士签订建站协议后直接认定为市级院士工作站。</w:t>
      </w:r>
    </w:p>
    <w:p>
      <w:pPr>
        <w:spacing w:line="570" w:lineRule="exact"/>
        <w:ind w:firstLine="640" w:firstLineChars="200"/>
        <w:rPr>
          <w:rFonts w:ascii="黑体" w:hAnsi="黑体" w:eastAsia="黑体" w:cs="黑体"/>
          <w:bCs/>
          <w:snapToGrid w:val="0"/>
          <w:color w:val="000000"/>
          <w:sz w:val="32"/>
          <w:szCs w:val="32"/>
        </w:rPr>
      </w:pPr>
      <w:r>
        <w:rPr>
          <w:rFonts w:hint="eastAsia" w:ascii="楷体_GB2312" w:hAnsi="黑体" w:eastAsia="楷体_GB2312" w:cs="黑体"/>
          <w:bCs/>
          <w:snapToGrid w:val="0"/>
          <w:color w:val="000000"/>
          <w:sz w:val="32"/>
          <w:szCs w:val="32"/>
        </w:rPr>
        <w:t>第十二条</w:t>
      </w:r>
      <w:r>
        <w:rPr>
          <w:rFonts w:ascii="黑体" w:hAnsi="黑体" w:eastAsia="黑体" w:cs="黑体"/>
          <w:bCs/>
          <w:snapToGrid w:val="0"/>
          <w:color w:val="000000"/>
          <w:sz w:val="32"/>
          <w:szCs w:val="32"/>
        </w:rPr>
        <w:t xml:space="preserve">   </w:t>
      </w:r>
      <w:r>
        <w:rPr>
          <w:rFonts w:hint="eastAsia" w:ascii="仿宋_GB2312" w:hAnsi="宋体" w:eastAsia="仿宋_GB2312" w:cs="宋体"/>
          <w:snapToGrid w:val="0"/>
          <w:color w:val="000000"/>
          <w:sz w:val="32"/>
          <w:szCs w:val="32"/>
        </w:rPr>
        <w:t>有下列情形之一的建站</w:t>
      </w:r>
      <w:r>
        <w:rPr>
          <w:rFonts w:hint="eastAsia" w:ascii="仿宋_GB2312" w:eastAsia="仿宋_GB2312"/>
          <w:snapToGrid w:val="0"/>
          <w:color w:val="000000"/>
          <w:sz w:val="32"/>
          <w:szCs w:val="32"/>
        </w:rPr>
        <w:t>主体，取消市级工作站的申报和认</w:t>
      </w:r>
      <w:r>
        <w:rPr>
          <w:rFonts w:hint="eastAsia" w:ascii="仿宋_GB2312" w:hAnsi="宋体" w:eastAsia="仿宋_GB2312" w:cs="宋体"/>
          <w:snapToGrid w:val="0"/>
          <w:color w:val="000000"/>
          <w:sz w:val="32"/>
          <w:szCs w:val="32"/>
        </w:rPr>
        <w:t>定资格：</w:t>
      </w:r>
    </w:p>
    <w:p>
      <w:pPr>
        <w:spacing w:line="570"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（一）申报过程中隐瞒真实情况、弄虚作假的；</w:t>
      </w:r>
    </w:p>
    <w:p>
      <w:pPr>
        <w:spacing w:line="570"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（二）侵犯他人知识产权，被行政或司法部门确认侵权行为的；</w:t>
      </w:r>
    </w:p>
    <w:p>
      <w:pPr>
        <w:spacing w:line="570"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（三）因技术原因发生重大安全、质量、严重环境污染事故的；</w:t>
      </w:r>
    </w:p>
    <w:p>
      <w:pPr>
        <w:spacing w:line="570"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（四）因偷税、漏税等违法行为受到行政、刑事处理的；</w:t>
      </w:r>
    </w:p>
    <w:p>
      <w:pPr>
        <w:spacing w:line="570"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（五）对建站期间没有按照要求开展工作，或绩效评估和考核认为不合格的；</w:t>
      </w:r>
    </w:p>
    <w:p>
      <w:pPr>
        <w:spacing w:line="570" w:lineRule="exact"/>
        <w:ind w:firstLine="640" w:firstLineChars="200"/>
        <w:rPr>
          <w:rFonts w:ascii="黑体" w:hAnsi="黑体" w:eastAsia="黑体" w:cs="黑体"/>
          <w:bCs/>
          <w:snapToGrid w:val="0"/>
          <w:color w:val="000000"/>
          <w:sz w:val="32"/>
          <w:szCs w:val="32"/>
        </w:rPr>
      </w:pPr>
      <w:r>
        <w:rPr>
          <w:rFonts w:hint="eastAsia" w:ascii="仿宋_GB2312" w:hAnsi="宋体" w:eastAsia="仿宋_GB2312" w:cs="宋体"/>
          <w:snapToGrid w:val="0"/>
          <w:color w:val="000000"/>
          <w:sz w:val="32"/>
          <w:szCs w:val="32"/>
        </w:rPr>
        <w:t>（六）因其他特殊情况不宜建站的。</w:t>
      </w:r>
    </w:p>
    <w:p>
      <w:pPr>
        <w:pStyle w:val="2"/>
        <w:spacing w:before="0" w:beforeAutospacing="0" w:after="0" w:afterAutospacing="0" w:line="570" w:lineRule="exact"/>
        <w:jc w:val="center"/>
        <w:rPr>
          <w:rFonts w:ascii="黑体" w:hAnsi="黑体" w:eastAsia="黑体"/>
          <w:bCs/>
          <w:snapToGrid w:val="0"/>
          <w:color w:val="000000"/>
          <w:kern w:val="2"/>
          <w:sz w:val="32"/>
          <w:szCs w:val="32"/>
        </w:rPr>
      </w:pPr>
      <w:r>
        <w:rPr>
          <w:rFonts w:hint="eastAsia" w:ascii="黑体" w:hAnsi="黑体" w:eastAsia="黑体"/>
          <w:bCs/>
          <w:snapToGrid w:val="0"/>
          <w:color w:val="000000"/>
          <w:kern w:val="2"/>
          <w:sz w:val="32"/>
          <w:szCs w:val="32"/>
        </w:rPr>
        <w:t>第四章   支撑服务</w:t>
      </w:r>
    </w:p>
    <w:p>
      <w:pPr>
        <w:spacing w:line="570" w:lineRule="exact"/>
        <w:ind w:firstLine="640" w:firstLineChars="200"/>
        <w:rPr>
          <w:rFonts w:ascii="仿宋_GB2312" w:eastAsia="仿宋_GB2312"/>
          <w:snapToGrid w:val="0"/>
          <w:color w:val="000000"/>
          <w:sz w:val="32"/>
          <w:szCs w:val="32"/>
        </w:rPr>
      </w:pPr>
      <w:r>
        <w:rPr>
          <w:rFonts w:hint="eastAsia" w:ascii="楷体_GB2312" w:hAnsi="黑体" w:eastAsia="楷体_GB2312" w:cs="黑体"/>
          <w:bCs/>
          <w:snapToGrid w:val="0"/>
          <w:color w:val="000000"/>
          <w:sz w:val="32"/>
          <w:szCs w:val="32"/>
        </w:rPr>
        <w:t>第十三条</w:t>
      </w:r>
      <w:r>
        <w:rPr>
          <w:rFonts w:ascii="楷体_GB2312" w:hAnsi="黑体" w:eastAsia="楷体_GB2312" w:cs="黑体"/>
          <w:bCs/>
          <w:snapToGrid w:val="0"/>
          <w:color w:val="000000"/>
          <w:sz w:val="32"/>
          <w:szCs w:val="32"/>
        </w:rPr>
        <w:t xml:space="preserve"> </w:t>
      </w:r>
      <w:r>
        <w:rPr>
          <w:rFonts w:ascii="黑体" w:hAnsi="黑体" w:eastAsia="黑体" w:cs="黑体"/>
          <w:bCs/>
          <w:snapToGrid w:val="0"/>
          <w:color w:val="000000"/>
          <w:sz w:val="32"/>
          <w:szCs w:val="32"/>
        </w:rPr>
        <w:t xml:space="preserve"> </w:t>
      </w:r>
      <w:r>
        <w:rPr>
          <w:rFonts w:hint="eastAsia" w:ascii="仿宋_GB2312" w:eastAsia="仿宋_GB2312"/>
          <w:snapToGrid w:val="0"/>
          <w:color w:val="000000"/>
          <w:sz w:val="32"/>
          <w:szCs w:val="32"/>
        </w:rPr>
        <w:t>市级工作站经认定后，市人才发展专项资金分别给予每个院士工作站15万元</w:t>
      </w:r>
      <w:r>
        <w:rPr>
          <w:rFonts w:hint="eastAsia" w:ascii="仿宋_GB2312" w:hAnsi="宋体" w:eastAsia="仿宋_GB2312" w:cs="宋体"/>
          <w:snapToGrid w:val="0"/>
          <w:color w:val="000000"/>
          <w:sz w:val="32"/>
          <w:szCs w:val="32"/>
        </w:rPr>
        <w:t>、</w:t>
      </w:r>
      <w:r>
        <w:rPr>
          <w:rFonts w:hint="eastAsia" w:ascii="仿宋_GB2312" w:eastAsia="仿宋_GB2312"/>
          <w:snapToGrid w:val="0"/>
          <w:color w:val="000000"/>
          <w:sz w:val="32"/>
          <w:szCs w:val="32"/>
        </w:rPr>
        <w:t>每个专家工作站10万元资助经费。对于具有重大影响和重要发展前景、预期效益特别显著的工作站，采取“一事一议、按需支持”的方式，给予特殊支持。</w:t>
      </w:r>
    </w:p>
    <w:p>
      <w:pPr>
        <w:spacing w:line="570" w:lineRule="exact"/>
        <w:ind w:firstLine="640" w:firstLineChars="200"/>
        <w:rPr>
          <w:rFonts w:ascii="仿宋_GB2312" w:hAnsi="宋体" w:eastAsia="仿宋_GB2312" w:cs="宋体"/>
          <w:snapToGrid w:val="0"/>
          <w:color w:val="000000"/>
          <w:sz w:val="32"/>
          <w:szCs w:val="32"/>
        </w:rPr>
      </w:pPr>
      <w:r>
        <w:rPr>
          <w:rFonts w:hint="eastAsia" w:ascii="楷体_GB2312" w:hAnsi="黑体" w:eastAsia="楷体_GB2312" w:cs="黑体"/>
          <w:bCs/>
          <w:snapToGrid w:val="0"/>
          <w:color w:val="000000"/>
          <w:sz w:val="32"/>
          <w:szCs w:val="32"/>
        </w:rPr>
        <w:t>第十四条</w:t>
      </w:r>
      <w:r>
        <w:rPr>
          <w:rFonts w:ascii="黑体" w:hAnsi="黑体" w:eastAsia="黑体" w:cs="黑体"/>
          <w:bCs/>
          <w:snapToGrid w:val="0"/>
          <w:color w:val="000000"/>
          <w:sz w:val="32"/>
          <w:szCs w:val="32"/>
        </w:rPr>
        <w:t xml:space="preserve">  </w:t>
      </w:r>
      <w:r>
        <w:rPr>
          <w:rFonts w:hint="eastAsia" w:ascii="仿宋_GB2312" w:hAnsi="宋体" w:eastAsia="仿宋_GB2312" w:cs="宋体"/>
          <w:snapToGrid w:val="0"/>
          <w:color w:val="000000"/>
          <w:sz w:val="32"/>
          <w:szCs w:val="32"/>
        </w:rPr>
        <w:t>鼓励有条件的工作站积极申报省级工作站。通过省级认定的，除省上给予的建站补助外，市上再给予一次性</w:t>
      </w:r>
      <w:r>
        <w:rPr>
          <w:rFonts w:ascii="仿宋_GB2312" w:hAnsi="宋体" w:eastAsia="仿宋_GB2312" w:cs="宋体"/>
          <w:snapToGrid w:val="0"/>
          <w:color w:val="000000"/>
          <w:sz w:val="32"/>
          <w:szCs w:val="32"/>
        </w:rPr>
        <w:t>20</w:t>
      </w:r>
      <w:r>
        <w:rPr>
          <w:rFonts w:hint="eastAsia" w:ascii="仿宋_GB2312" w:hAnsi="宋体" w:eastAsia="仿宋_GB2312" w:cs="宋体"/>
          <w:snapToGrid w:val="0"/>
          <w:color w:val="000000"/>
          <w:sz w:val="32"/>
          <w:szCs w:val="32"/>
        </w:rPr>
        <w:t>万元的建站资助。</w:t>
      </w:r>
    </w:p>
    <w:p>
      <w:pPr>
        <w:spacing w:line="570" w:lineRule="exact"/>
        <w:ind w:firstLine="640" w:firstLineChars="200"/>
        <w:rPr>
          <w:rFonts w:ascii="仿宋_GB2312" w:hAnsi="宋体" w:eastAsia="仿宋_GB2312" w:cs="宋体"/>
          <w:snapToGrid w:val="0"/>
          <w:color w:val="000000"/>
          <w:sz w:val="32"/>
          <w:szCs w:val="32"/>
        </w:rPr>
      </w:pPr>
      <w:r>
        <w:rPr>
          <w:rFonts w:hint="eastAsia" w:ascii="楷体_GB2312" w:hAnsi="黑体" w:eastAsia="楷体_GB2312" w:cs="黑体"/>
          <w:bCs/>
          <w:snapToGrid w:val="0"/>
          <w:color w:val="000000"/>
          <w:sz w:val="32"/>
          <w:szCs w:val="32"/>
        </w:rPr>
        <w:t>第十五条</w:t>
      </w:r>
      <w:r>
        <w:rPr>
          <w:rFonts w:hint="eastAsia" w:ascii="仿宋_GB2312" w:hAnsi="宋体" w:eastAsia="仿宋_GB2312" w:cs="宋体"/>
          <w:snapToGrid w:val="0"/>
          <w:color w:val="000000"/>
          <w:sz w:val="32"/>
          <w:szCs w:val="32"/>
        </w:rPr>
        <w:t xml:space="preserve">  院士专家工作站支持经费主要用于引进专家工作报酬，以及科研研发、技术咨询和人才培养等，不得挪作他用。</w:t>
      </w:r>
    </w:p>
    <w:p>
      <w:pPr>
        <w:pStyle w:val="2"/>
        <w:spacing w:before="0" w:beforeAutospacing="0" w:after="0" w:afterAutospacing="0" w:line="570" w:lineRule="exact"/>
        <w:jc w:val="center"/>
        <w:rPr>
          <w:rFonts w:ascii="黑体" w:hAnsi="黑体" w:eastAsia="黑体"/>
          <w:bCs/>
          <w:snapToGrid w:val="0"/>
          <w:color w:val="000000"/>
          <w:kern w:val="2"/>
          <w:sz w:val="32"/>
          <w:szCs w:val="32"/>
        </w:rPr>
      </w:pPr>
      <w:r>
        <w:rPr>
          <w:rFonts w:hint="eastAsia" w:ascii="黑体" w:hAnsi="黑体" w:eastAsia="黑体"/>
          <w:bCs/>
          <w:snapToGrid w:val="0"/>
          <w:color w:val="000000"/>
          <w:kern w:val="2"/>
          <w:sz w:val="32"/>
          <w:szCs w:val="32"/>
        </w:rPr>
        <w:t>第五章   组织管理</w:t>
      </w:r>
    </w:p>
    <w:p>
      <w:pPr>
        <w:spacing w:line="570" w:lineRule="exact"/>
        <w:ind w:firstLine="640" w:firstLineChars="200"/>
        <w:rPr>
          <w:rFonts w:ascii="黑体" w:hAnsi="黑体" w:eastAsia="黑体" w:cs="黑体"/>
          <w:bCs/>
          <w:snapToGrid w:val="0"/>
          <w:color w:val="000000"/>
          <w:sz w:val="32"/>
          <w:szCs w:val="32"/>
        </w:rPr>
      </w:pPr>
      <w:r>
        <w:rPr>
          <w:rFonts w:hint="eastAsia" w:ascii="楷体_GB2312" w:hAnsi="黑体" w:eastAsia="楷体_GB2312" w:cs="黑体"/>
          <w:bCs/>
          <w:snapToGrid w:val="0"/>
          <w:color w:val="000000"/>
          <w:sz w:val="32"/>
          <w:szCs w:val="32"/>
        </w:rPr>
        <w:t>第十六条</w:t>
      </w:r>
      <w:r>
        <w:rPr>
          <w:rFonts w:ascii="仿宋_GB2312" w:hAnsi="宋体" w:eastAsia="仿宋_GB2312" w:cs="宋体"/>
          <w:snapToGrid w:val="0"/>
          <w:color w:val="000000"/>
          <w:sz w:val="32"/>
          <w:szCs w:val="32"/>
        </w:rPr>
        <w:t xml:space="preserve">  </w:t>
      </w:r>
      <w:r>
        <w:rPr>
          <w:rFonts w:hint="eastAsia" w:ascii="仿宋_GB2312" w:hAnsi="宋体" w:eastAsia="仿宋_GB2312" w:cs="宋体"/>
          <w:snapToGrid w:val="0"/>
          <w:color w:val="000000"/>
          <w:sz w:val="32"/>
          <w:szCs w:val="32"/>
        </w:rPr>
        <w:t>工作站建设工作在市委人才工作领导小组领导下，由市委组织部、市发改委、市农业农村局、市工信局、市科技局、市财政局、市人社局、市卫健委、市科协、市工商联等相关部门成立汉中市院士专家工作站建设协调小组。市协调小组的主要职责是：组织制定《汉中市院士专家工作站管理办法》；组织市级工作站的检查验收；审核市级院士专家工作站的申报和认定；市级工作站资助经费的拨付和管理；组织制定工作站绩效评价办法和激励措施。</w:t>
      </w:r>
      <w:r>
        <w:rPr>
          <w:rFonts w:ascii="黑体" w:hAnsi="黑体" w:eastAsia="黑体" w:cs="黑体"/>
          <w:bCs/>
          <w:snapToGrid w:val="0"/>
          <w:color w:val="000000"/>
          <w:sz w:val="32"/>
          <w:szCs w:val="32"/>
        </w:rPr>
        <w:t xml:space="preserve"> </w:t>
      </w:r>
    </w:p>
    <w:p>
      <w:pPr>
        <w:spacing w:line="570" w:lineRule="exact"/>
        <w:ind w:firstLine="640" w:firstLineChars="200"/>
        <w:rPr>
          <w:rFonts w:ascii="仿宋_GB2312" w:hAnsi="宋体" w:eastAsia="仿宋_GB2312" w:cs="宋体"/>
          <w:snapToGrid w:val="0"/>
          <w:color w:val="000000"/>
          <w:sz w:val="32"/>
          <w:szCs w:val="32"/>
        </w:rPr>
      </w:pPr>
      <w:r>
        <w:rPr>
          <w:rFonts w:hint="eastAsia" w:ascii="楷体_GB2312" w:hAnsi="黑体" w:eastAsia="楷体_GB2312" w:cs="黑体"/>
          <w:bCs/>
          <w:snapToGrid w:val="0"/>
          <w:color w:val="000000"/>
          <w:sz w:val="32"/>
          <w:szCs w:val="32"/>
        </w:rPr>
        <w:t>第十七条</w:t>
      </w:r>
      <w:r>
        <w:rPr>
          <w:rFonts w:ascii="黑体" w:hAnsi="黑体" w:eastAsia="黑体" w:cs="黑体"/>
          <w:bCs/>
          <w:snapToGrid w:val="0"/>
          <w:color w:val="000000"/>
          <w:sz w:val="32"/>
          <w:szCs w:val="32"/>
        </w:rPr>
        <w:t xml:space="preserve">  </w:t>
      </w:r>
      <w:r>
        <w:rPr>
          <w:rFonts w:hint="eastAsia" w:ascii="仿宋_GB2312" w:hAnsi="宋体" w:eastAsia="仿宋_GB2312" w:cs="宋体"/>
          <w:snapToGrid w:val="0"/>
          <w:color w:val="000000"/>
          <w:sz w:val="32"/>
          <w:szCs w:val="32"/>
        </w:rPr>
        <w:t>协调小组下设办公室，办公室设在市科协。主要履行以下职责：指导各县区、各企事业单位院士专家工作站建设；申报材料核实；做好省级院士专家工作站的推荐工作；负责院士专家工作站的日常联系和管理。</w:t>
      </w:r>
    </w:p>
    <w:p>
      <w:pPr>
        <w:spacing w:line="570" w:lineRule="exact"/>
        <w:ind w:firstLine="640" w:firstLineChars="200"/>
        <w:rPr>
          <w:rFonts w:ascii="仿宋_GB2312" w:hAnsi="宋体" w:eastAsia="仿宋_GB2312" w:cs="宋体"/>
          <w:snapToGrid w:val="0"/>
          <w:color w:val="000000"/>
          <w:sz w:val="32"/>
          <w:szCs w:val="32"/>
        </w:rPr>
      </w:pPr>
      <w:r>
        <w:rPr>
          <w:rFonts w:hint="eastAsia" w:ascii="楷体_GB2312" w:hAnsi="黑体" w:eastAsia="楷体_GB2312" w:cs="黑体"/>
          <w:bCs/>
          <w:snapToGrid w:val="0"/>
          <w:color w:val="000000"/>
          <w:sz w:val="32"/>
          <w:szCs w:val="32"/>
        </w:rPr>
        <w:t>第十八条</w:t>
      </w:r>
      <w:r>
        <w:rPr>
          <w:rFonts w:ascii="黑体" w:hAnsi="黑体" w:eastAsia="黑体" w:cs="黑体"/>
          <w:bCs/>
          <w:snapToGrid w:val="0"/>
          <w:color w:val="000000"/>
          <w:sz w:val="32"/>
          <w:szCs w:val="32"/>
        </w:rPr>
        <w:t xml:space="preserve">  </w:t>
      </w:r>
      <w:r>
        <w:rPr>
          <w:rFonts w:hint="eastAsia" w:ascii="仿宋_GB2312" w:hAnsi="宋体" w:eastAsia="仿宋_GB2312" w:cs="宋体"/>
          <w:snapToGrid w:val="0"/>
          <w:color w:val="000000"/>
          <w:sz w:val="32"/>
          <w:szCs w:val="32"/>
        </w:rPr>
        <w:t>各工作站建站单位是工作站的建设与管理主体，其主要职责是：</w:t>
      </w:r>
    </w:p>
    <w:p>
      <w:pPr>
        <w:spacing w:line="570"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（一）负责制定本工作站建站计划和年度工作目标；</w:t>
      </w:r>
    </w:p>
    <w:p>
      <w:pPr>
        <w:spacing w:line="570"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（二）负责制定本工作站的各项管理制度；</w:t>
      </w:r>
    </w:p>
    <w:p>
      <w:pPr>
        <w:spacing w:line="570"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（三）做好驻站院士专家及其团队的科研、生活等服务保障工作；</w:t>
      </w:r>
    </w:p>
    <w:p>
      <w:pPr>
        <w:spacing w:line="570"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（四）配合省、市工作站建设管理机构做好调研、评审、绩效考核等各项管理工作，及时上报工作站运行情况；</w:t>
      </w:r>
    </w:p>
    <w:p>
      <w:pPr>
        <w:spacing w:line="570" w:lineRule="exact"/>
        <w:ind w:firstLine="640" w:firstLineChars="200"/>
        <w:rPr>
          <w:rFonts w:ascii="仿宋_GB2312" w:hAnsi="宋体" w:eastAsia="仿宋_GB2312" w:cs="宋体"/>
          <w:snapToGrid w:val="0"/>
          <w:color w:val="000000"/>
          <w:sz w:val="32"/>
          <w:szCs w:val="32"/>
        </w:rPr>
      </w:pPr>
      <w:r>
        <w:rPr>
          <w:rFonts w:hint="eastAsia" w:ascii="仿宋_GB2312" w:hAnsi="宋体" w:eastAsia="仿宋_GB2312" w:cs="宋体"/>
          <w:snapToGrid w:val="0"/>
          <w:color w:val="000000"/>
          <w:sz w:val="32"/>
          <w:szCs w:val="32"/>
        </w:rPr>
        <w:t>（五）主动配合完成省、市工作站管理机构下达的相关工作任务。</w:t>
      </w:r>
    </w:p>
    <w:p>
      <w:pPr>
        <w:pStyle w:val="2"/>
        <w:spacing w:before="0" w:beforeAutospacing="0" w:after="0" w:afterAutospacing="0" w:line="570" w:lineRule="exact"/>
        <w:jc w:val="center"/>
        <w:rPr>
          <w:rFonts w:ascii="黑体" w:hAnsi="黑体" w:eastAsia="黑体"/>
          <w:bCs/>
          <w:snapToGrid w:val="0"/>
          <w:color w:val="000000"/>
          <w:kern w:val="2"/>
          <w:sz w:val="32"/>
          <w:szCs w:val="32"/>
        </w:rPr>
      </w:pPr>
      <w:r>
        <w:rPr>
          <w:rFonts w:hint="eastAsia" w:ascii="黑体" w:hAnsi="黑体" w:eastAsia="黑体"/>
          <w:bCs/>
          <w:snapToGrid w:val="0"/>
          <w:color w:val="000000"/>
          <w:kern w:val="2"/>
          <w:sz w:val="32"/>
          <w:szCs w:val="32"/>
        </w:rPr>
        <w:t>第六章   绩效考核</w:t>
      </w:r>
    </w:p>
    <w:p>
      <w:pPr>
        <w:spacing w:line="570" w:lineRule="exact"/>
        <w:ind w:firstLine="640" w:firstLineChars="200"/>
        <w:rPr>
          <w:rFonts w:ascii="仿宋_GB2312" w:hAnsi="宋体" w:eastAsia="仿宋_GB2312" w:cs="宋体"/>
          <w:snapToGrid w:val="0"/>
          <w:color w:val="000000"/>
          <w:sz w:val="32"/>
          <w:szCs w:val="32"/>
        </w:rPr>
      </w:pPr>
      <w:r>
        <w:rPr>
          <w:rFonts w:hint="eastAsia" w:ascii="楷体_GB2312" w:hAnsi="黑体" w:eastAsia="楷体_GB2312" w:cs="黑体"/>
          <w:bCs/>
          <w:snapToGrid w:val="0"/>
          <w:color w:val="000000"/>
          <w:sz w:val="32"/>
          <w:szCs w:val="32"/>
        </w:rPr>
        <w:t xml:space="preserve">第十九条  </w:t>
      </w:r>
      <w:r>
        <w:rPr>
          <w:rFonts w:hint="eastAsia" w:ascii="仿宋_GB2312" w:hAnsi="宋体" w:eastAsia="仿宋_GB2312" w:cs="宋体"/>
          <w:snapToGrid w:val="0"/>
          <w:color w:val="000000"/>
          <w:sz w:val="32"/>
          <w:szCs w:val="32"/>
        </w:rPr>
        <w:t>工作站考核实行动态管理，管理周期一般为三年。协调小组适时组织对工作站运行、绩效情况以及建站资助经费使用情况进行跟踪了解和抽查；</w:t>
      </w:r>
      <w:r>
        <w:rPr>
          <w:rFonts w:hint="eastAsia" w:ascii="仿宋_GB2312" w:eastAsia="仿宋_GB2312"/>
          <w:snapToGrid w:val="0"/>
          <w:color w:val="000000"/>
          <w:sz w:val="32"/>
          <w:szCs w:val="32"/>
        </w:rPr>
        <w:t>对发现存在的问题的工作站要求限期整改，限期整改后仍不合格的工作站予以摘牌并进行通报，同时追回建站资助经费</w:t>
      </w:r>
      <w:r>
        <w:rPr>
          <w:rFonts w:hint="eastAsia" w:ascii="仿宋_GB2312" w:hAnsi="宋体" w:eastAsia="仿宋_GB2312" w:cs="宋体"/>
          <w:snapToGrid w:val="0"/>
          <w:color w:val="000000"/>
          <w:sz w:val="32"/>
          <w:szCs w:val="32"/>
        </w:rPr>
        <w:t>。</w:t>
      </w:r>
    </w:p>
    <w:p>
      <w:pPr>
        <w:spacing w:line="570" w:lineRule="exact"/>
        <w:ind w:firstLine="640" w:firstLineChars="200"/>
        <w:rPr>
          <w:rFonts w:ascii="仿宋_GB2312" w:eastAsia="仿宋_GB2312"/>
          <w:snapToGrid w:val="0"/>
          <w:color w:val="000000"/>
          <w:sz w:val="32"/>
          <w:szCs w:val="32"/>
        </w:rPr>
      </w:pPr>
      <w:r>
        <w:rPr>
          <w:rFonts w:hint="eastAsia" w:ascii="楷体_GB2312" w:hAnsi="黑体" w:eastAsia="楷体_GB2312" w:cs="黑体"/>
          <w:bCs/>
          <w:snapToGrid w:val="0"/>
          <w:color w:val="000000"/>
          <w:sz w:val="32"/>
          <w:szCs w:val="32"/>
        </w:rPr>
        <w:t>第二十条</w:t>
      </w:r>
      <w:r>
        <w:rPr>
          <w:rFonts w:hint="eastAsia" w:ascii="黑体" w:hAnsi="黑体" w:eastAsia="黑体" w:cs="黑体"/>
          <w:bCs/>
          <w:snapToGrid w:val="0"/>
          <w:color w:val="000000"/>
          <w:sz w:val="32"/>
          <w:szCs w:val="32"/>
        </w:rPr>
        <w:t xml:space="preserve">  </w:t>
      </w:r>
      <w:r>
        <w:rPr>
          <w:rFonts w:hint="eastAsia" w:ascii="仿宋_GB2312" w:eastAsia="仿宋_GB2312"/>
          <w:snapToGrid w:val="0"/>
          <w:color w:val="000000"/>
          <w:sz w:val="32"/>
          <w:szCs w:val="32"/>
        </w:rPr>
        <w:t>各市级工作站每年年初要向市科协报送工作站上年度工作总结和本年度工作计划表进行备案，年度计划表中的工作内容将作为本年度各工作站运行、绩效考核抽查的主要对照依据。</w:t>
      </w:r>
    </w:p>
    <w:p>
      <w:pPr>
        <w:pStyle w:val="2"/>
        <w:spacing w:before="0" w:beforeAutospacing="0" w:after="0" w:afterAutospacing="0" w:line="570" w:lineRule="exact"/>
        <w:ind w:firstLine="640" w:firstLineChars="200"/>
        <w:jc w:val="both"/>
        <w:rPr>
          <w:rFonts w:ascii="黑体" w:hAnsi="黑体" w:eastAsia="黑体" w:cs="黑体"/>
          <w:bCs/>
          <w:snapToGrid w:val="0"/>
          <w:color w:val="000000"/>
          <w:kern w:val="2"/>
          <w:sz w:val="32"/>
          <w:szCs w:val="32"/>
        </w:rPr>
      </w:pPr>
      <w:r>
        <w:rPr>
          <w:rFonts w:hint="eastAsia" w:ascii="楷体_GB2312" w:hAnsi="黑体" w:eastAsia="楷体_GB2312" w:cs="黑体"/>
          <w:bCs/>
          <w:snapToGrid w:val="0"/>
          <w:color w:val="000000"/>
          <w:kern w:val="2"/>
          <w:sz w:val="32"/>
          <w:szCs w:val="32"/>
        </w:rPr>
        <w:t>第二十一条</w:t>
      </w:r>
      <w:r>
        <w:rPr>
          <w:rFonts w:hint="eastAsia" w:ascii="黑体" w:hAnsi="黑体" w:eastAsia="黑体" w:cs="黑体"/>
          <w:bCs/>
          <w:snapToGrid w:val="0"/>
          <w:color w:val="000000"/>
          <w:kern w:val="2"/>
          <w:sz w:val="32"/>
          <w:szCs w:val="32"/>
        </w:rPr>
        <w:t xml:space="preserve">  </w:t>
      </w:r>
      <w:r>
        <w:rPr>
          <w:rFonts w:hint="eastAsia" w:ascii="仿宋_GB2312" w:hAnsi="Calibri" w:eastAsia="仿宋_GB2312" w:cs="Times New Roman"/>
          <w:snapToGrid w:val="0"/>
          <w:color w:val="000000"/>
          <w:kern w:val="2"/>
          <w:sz w:val="32"/>
          <w:szCs w:val="32"/>
        </w:rPr>
        <w:t>各市级工作站建站单位应建立健全建站资助经费的使用、管理和监督机制。要建立专账，做到专款专用、专账核算、手续完备、账目清楚、结算准确。建站资助经费的使用必须接受协调小组和相关部门的监督检查。对违反规定擅自截留、挤占、挪用、贪污建站资助经费的建站单位和个人，将按照有关法律法规进行查处。</w:t>
      </w:r>
    </w:p>
    <w:p>
      <w:pPr>
        <w:pStyle w:val="2"/>
        <w:spacing w:before="0" w:beforeAutospacing="0" w:after="0" w:afterAutospacing="0" w:line="570" w:lineRule="exact"/>
        <w:jc w:val="center"/>
        <w:rPr>
          <w:rFonts w:ascii="黑体" w:hAnsi="黑体" w:eastAsia="黑体"/>
          <w:bCs/>
          <w:snapToGrid w:val="0"/>
          <w:color w:val="000000"/>
          <w:kern w:val="2"/>
          <w:sz w:val="32"/>
          <w:szCs w:val="32"/>
        </w:rPr>
      </w:pPr>
      <w:r>
        <w:rPr>
          <w:rFonts w:hint="eastAsia" w:ascii="黑体" w:hAnsi="黑体" w:eastAsia="黑体"/>
          <w:bCs/>
          <w:snapToGrid w:val="0"/>
          <w:color w:val="000000"/>
          <w:kern w:val="2"/>
          <w:sz w:val="32"/>
          <w:szCs w:val="32"/>
        </w:rPr>
        <w:t>第七章   附则</w:t>
      </w:r>
    </w:p>
    <w:p>
      <w:pPr>
        <w:spacing w:line="570" w:lineRule="exact"/>
        <w:ind w:firstLine="640" w:firstLineChars="200"/>
        <w:rPr>
          <w:rFonts w:ascii="仿宋_GB2312" w:hAnsi="宋体" w:eastAsia="仿宋_GB2312" w:cs="宋体"/>
          <w:snapToGrid w:val="0"/>
          <w:color w:val="000000"/>
          <w:sz w:val="32"/>
          <w:szCs w:val="32"/>
        </w:rPr>
      </w:pPr>
      <w:r>
        <w:rPr>
          <w:rFonts w:hint="eastAsia" w:ascii="楷体_GB2312" w:hAnsi="黑体" w:eastAsia="楷体_GB2312" w:cs="黑体"/>
          <w:bCs/>
          <w:snapToGrid w:val="0"/>
          <w:color w:val="000000"/>
          <w:sz w:val="32"/>
          <w:szCs w:val="32"/>
        </w:rPr>
        <w:t>第二十二条</w:t>
      </w:r>
      <w:r>
        <w:rPr>
          <w:rFonts w:ascii="黑体" w:hAnsi="黑体" w:eastAsia="黑体" w:cs="黑体"/>
          <w:bCs/>
          <w:snapToGrid w:val="0"/>
          <w:color w:val="000000"/>
          <w:sz w:val="32"/>
          <w:szCs w:val="32"/>
        </w:rPr>
        <w:t xml:space="preserve">  </w:t>
      </w:r>
      <w:r>
        <w:rPr>
          <w:rFonts w:hint="eastAsia" w:ascii="仿宋_GB2312" w:hAnsi="宋体" w:eastAsia="仿宋_GB2312" w:cs="宋体"/>
          <w:snapToGrid w:val="0"/>
          <w:color w:val="000000"/>
          <w:sz w:val="32"/>
          <w:szCs w:val="32"/>
        </w:rPr>
        <w:t>本办法由市委组织部、市科协负责解释。</w:t>
      </w:r>
    </w:p>
    <w:p>
      <w:pPr>
        <w:spacing w:line="570" w:lineRule="exact"/>
        <w:ind w:firstLine="640" w:firstLineChars="200"/>
        <w:rPr>
          <w:rFonts w:ascii="仿宋_GB2312" w:hAnsi="宋体" w:eastAsia="仿宋_GB2312" w:cs="宋体"/>
          <w:snapToGrid w:val="0"/>
          <w:color w:val="000000"/>
          <w:sz w:val="32"/>
          <w:szCs w:val="32"/>
        </w:rPr>
      </w:pPr>
      <w:r>
        <w:rPr>
          <w:rFonts w:hint="eastAsia" w:ascii="楷体_GB2312" w:hAnsi="黑体" w:eastAsia="楷体_GB2312" w:cs="黑体"/>
          <w:bCs/>
          <w:snapToGrid w:val="0"/>
          <w:color w:val="000000"/>
          <w:sz w:val="32"/>
          <w:szCs w:val="32"/>
        </w:rPr>
        <w:t>第二十三条</w:t>
      </w:r>
      <w:r>
        <w:rPr>
          <w:rFonts w:ascii="黑体" w:hAnsi="黑体" w:eastAsia="黑体" w:cs="黑体"/>
          <w:bCs/>
          <w:snapToGrid w:val="0"/>
          <w:color w:val="000000"/>
          <w:sz w:val="32"/>
          <w:szCs w:val="32"/>
        </w:rPr>
        <w:t xml:space="preserve">  </w:t>
      </w:r>
      <w:r>
        <w:rPr>
          <w:rFonts w:hint="eastAsia" w:ascii="仿宋_GB2312" w:hAnsi="宋体" w:eastAsia="仿宋_GB2312" w:cs="宋体"/>
          <w:snapToGrid w:val="0"/>
          <w:color w:val="000000"/>
          <w:sz w:val="32"/>
          <w:szCs w:val="32"/>
        </w:rPr>
        <w:t>本办法自印发之日起施行，《关于印发〈汉中市院士专家工作站管理办法（试行）〉的通知》（汉市人才发〔</w:t>
      </w:r>
      <w:r>
        <w:rPr>
          <w:rFonts w:ascii="仿宋_GB2312" w:hAnsi="宋体" w:eastAsia="仿宋_GB2312" w:cs="宋体"/>
          <w:snapToGrid w:val="0"/>
          <w:color w:val="000000"/>
          <w:sz w:val="32"/>
          <w:szCs w:val="32"/>
        </w:rPr>
        <w:t>2018</w:t>
      </w:r>
      <w:r>
        <w:rPr>
          <w:rFonts w:hint="eastAsia" w:ascii="仿宋_GB2312" w:hAnsi="宋体" w:eastAsia="仿宋_GB2312" w:cs="宋体"/>
          <w:snapToGrid w:val="0"/>
          <w:color w:val="000000"/>
          <w:sz w:val="32"/>
          <w:szCs w:val="32"/>
        </w:rPr>
        <w:t>〕</w:t>
      </w:r>
      <w:r>
        <w:rPr>
          <w:rFonts w:ascii="仿宋_GB2312" w:hAnsi="宋体" w:eastAsia="仿宋_GB2312" w:cs="宋体"/>
          <w:snapToGrid w:val="0"/>
          <w:color w:val="000000"/>
          <w:sz w:val="32"/>
          <w:szCs w:val="32"/>
        </w:rPr>
        <w:t>4</w:t>
      </w:r>
      <w:r>
        <w:rPr>
          <w:rFonts w:hint="eastAsia" w:ascii="仿宋_GB2312" w:hAnsi="宋体" w:eastAsia="仿宋_GB2312" w:cs="宋体"/>
          <w:snapToGrid w:val="0"/>
          <w:color w:val="000000"/>
          <w:sz w:val="32"/>
          <w:szCs w:val="32"/>
        </w:rPr>
        <w:t>号）同时废止。</w:t>
      </w:r>
    </w:p>
    <w:p>
      <w:pPr>
        <w:rPr>
          <w:rFonts w:ascii="黑体" w:hAnsi="黑体" w:eastAsia="黑体" w:cs="微软雅黑"/>
          <w:color w:val="000000"/>
          <w:sz w:val="28"/>
          <w:szCs w:val="28"/>
        </w:rPr>
      </w:pPr>
    </w:p>
    <w:p>
      <w:pPr>
        <w:rPr>
          <w:rFonts w:ascii="黑体" w:hAnsi="黑体" w:eastAsia="黑体" w:cs="微软雅黑"/>
          <w:color w:val="000000"/>
          <w:sz w:val="28"/>
          <w:szCs w:val="28"/>
        </w:rPr>
      </w:pPr>
    </w:p>
    <w:p>
      <w:pPr>
        <w:rPr>
          <w:rFonts w:ascii="黑体" w:hAnsi="黑体" w:eastAsia="黑体" w:cs="微软雅黑"/>
          <w:color w:val="000000"/>
          <w:sz w:val="28"/>
          <w:szCs w:val="28"/>
        </w:rPr>
      </w:pPr>
    </w:p>
    <w:p>
      <w:pPr>
        <w:rPr>
          <w:rFonts w:ascii="黑体" w:hAnsi="黑体" w:eastAsia="黑体" w:cs="微软雅黑"/>
          <w:color w:val="000000"/>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微软雅黑">
    <w:altName w:val="黑体"/>
    <w:panose1 w:val="020B0503020204020204"/>
    <w:charset w:val="86"/>
    <w:family w:val="swiss"/>
    <w:pitch w:val="default"/>
    <w:sig w:usb0="00000000" w:usb1="00000000" w:usb2="00000016" w:usb3="00000000" w:csb0="0004001F"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20939"/>
    <w:rsid w:val="05F20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2021-04-25T06:57:00Z</dcterms:created>
  <dc:creator>Administrator</dc:creator>
  <cp:lastModifiedBy>Administrator</cp:lastModifiedBy>
  <dcterms:modified xsi:type="dcterms:W3CDTF">2021-04-25T07:00:39Z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